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  <w:bCs/>
        </w:rPr>
        <w:t xml:space="preserve">Subhadip Mitra</w:t>
      </w:r>
      <w:r>
        <w:br/>
      </w:r>
      <w:r>
        <w:t xml:space="preserve"> </w:t>
      </w:r>
      <w:r>
        <w:t xml:space="preserve">Data &amp; AI Executive</w:t>
      </w:r>
      <w:r>
        <w:br/>
      </w:r>
      <w:r>
        <w:t xml:space="preserve">Singapore</w:t>
      </w:r>
      <w:r>
        <w:t xml:space="preserve"> </w:t>
      </w:r>
      <w:hyperlink r:id="rId9">
        <w:r>
          <w:rPr>
            <w:rStyle w:val="Hyperlink"/>
          </w:rPr>
          <w:t xml:space="preserve">contact@subhadipmitra.com</w:t>
        </w:r>
      </w:hyperlink>
      <w:r>
        <w:t xml:space="preserve"> </w:t>
      </w:r>
      <w:hyperlink r:id="rId10">
        <w:r>
          <w:rPr>
            <w:rStyle w:val="Hyperlink"/>
          </w:rPr>
          <w:t xml:space="preserve">LinkedIn</w:t>
        </w:r>
      </w:hyperlink>
      <w:r>
        <w:t xml:space="preserve"> </w:t>
      </w:r>
      <w:hyperlink r:id="rId11">
        <w:r>
          <w:rPr>
            <w:rStyle w:val="Hyperlink"/>
          </w:rPr>
          <w:t xml:space="preserve">GitHub</w:t>
        </w:r>
      </w:hyperlink>
    </w:p>
    <w:p>
      <w:pPr>
        <w:pStyle w:val="BodyText"/>
      </w:pPr>
      <w:r>
        <w:t xml:space="preserve">I build the practices, teams, and systems that turn AI from research into enterprise reality. 15+ years driving enterprise transformation across APAC as a Data &amp; AI executive. Head of Data &amp; Analytics, Google Cloud Southeast Asia – built the practice from zero to ~$X0M in delivery value, overseeing ~$X0M regional portfolio as Site Lead; 8 technical disclosures and peer-reviewed research published at ICLR.</w:t>
      </w:r>
    </w:p>
    <w:p>
      <w:pPr>
        <w:pStyle w:val="BodyText"/>
      </w:pPr>
      <w:r>
        <w:t xml:space="preserve">2</w:t>
      </w:r>
    </w:p>
    <w:bookmarkStart w:id="12" w:name="experience"/>
    <w:p>
      <w:pPr>
        <w:pStyle w:val="Heading1"/>
      </w:pPr>
      <w:r>
        <w:t xml:space="preserve">Experience</w:t>
      </w:r>
    </w:p>
    <w:p>
      <w:pPr>
        <w:pStyle w:val="FirstParagraph"/>
      </w:pPr>
      <w:r>
        <w:rPr>
          <w:b/>
          <w:bCs/>
        </w:rPr>
        <w:t xml:space="preserve">Head of Data &amp; Analytics, Southeast Asia | Site Lead, PSO Southeast Asia</w:t>
      </w:r>
      <w:r>
        <w:br/>
      </w:r>
      <w:r>
        <w:rPr>
          <w:i/>
          <w:iCs/>
        </w:rPr>
        <w:t xml:space="preserve">Google Cloud - Professional Services Organization</w:t>
      </w:r>
      <w:r>
        <w:t xml:space="preserve"> </w:t>
      </w:r>
      <w:r>
        <w:t xml:space="preserve">2021–Present</w:t>
      </w:r>
    </w:p>
    <w:p>
      <w:pPr>
        <w:numPr>
          <w:ilvl w:val="0"/>
          <w:numId w:val="1001"/>
        </w:numPr>
      </w:pPr>
      <w:r>
        <w:t xml:space="preserve">Built D&amp;A practice from zero to ~$X0M delivery value across 6 countries; as Site Lead, oversaw ~$X0M regional portfolio across all 7 SEA practices – 97% CSAT and 100% revenue targets</w:t>
      </w:r>
    </w:p>
    <w:p>
      <w:pPr>
        <w:numPr>
          <w:ilvl w:val="0"/>
          <w:numId w:val="1001"/>
        </w:numPr>
      </w:pPr>
      <w:r>
        <w:t xml:space="preserve">Created Practice’s Data Strategy competency ($X0M+ pursuit pipeline in 2 years). Rescued strategic account facing platform exodus, converting to $X0M+ 3-year commitment</w:t>
      </w:r>
    </w:p>
    <w:p>
      <w:pPr>
        <w:numPr>
          <w:ilvl w:val="0"/>
          <w:numId w:val="1001"/>
        </w:numPr>
      </w:pPr>
      <w:r>
        <w:t xml:space="preserve">Delivered first-of-its-kind ML notebook migration (30K+) via custom multi-agent system, GenAI reconciliation for a major airline (replicated across JAPAC), and petabyte-scale modernizations for Fortune 500 clients</w:t>
      </w:r>
    </w:p>
    <w:p>
      <w:pPr>
        <w:numPr>
          <w:ilvl w:val="0"/>
          <w:numId w:val="1001"/>
        </w:numPr>
      </w:pPr>
      <w:r>
        <w:t xml:space="preserve">Designed and launched JAPAC’s Agent Program Office (APO), operationalizing AI agents across 5 practices and 6 sub-regions. Made agentic assessment mandatory for all Deal Reviews, launched 7 pilot projects. Targeting 10% efficiency across 120+ person org</w:t>
      </w:r>
    </w:p>
    <w:p>
      <w:pPr>
        <w:pStyle w:val="FirstParagraph"/>
      </w:pPr>
      <w:r>
        <w:rPr>
          <w:b/>
          <w:bCs/>
        </w:rPr>
        <w:t xml:space="preserve">Principal Engineer - Data &amp; Analytics Transformation</w:t>
      </w:r>
      <w:r>
        <w:br/>
      </w:r>
      <w:r>
        <w:rPr>
          <w:i/>
          <w:iCs/>
        </w:rPr>
        <w:t xml:space="preserve">Standard Chartered Bank</w:t>
      </w:r>
      <w:r>
        <w:t xml:space="preserve"> </w:t>
      </w:r>
      <w:r>
        <w:t xml:space="preserve">2019–2021</w:t>
      </w:r>
    </w:p>
    <w:p>
      <w:pPr>
        <w:numPr>
          <w:ilvl w:val="0"/>
          <w:numId w:val="1002"/>
        </w:numPr>
      </w:pPr>
      <w:r>
        <w:t xml:space="preserve">Built data &amp; analytics platform serving 11 markets, 100+ systems, and 1200+ users</w:t>
      </w:r>
    </w:p>
    <w:p>
      <w:pPr>
        <w:numPr>
          <w:ilvl w:val="0"/>
          <w:numId w:val="1002"/>
        </w:numPr>
      </w:pPr>
      <w:r>
        <w:t xml:space="preserve">Delivered Self-Service ML Workbench with 500+ production models, reducing deployment from 6 months to 1 week</w:t>
      </w:r>
    </w:p>
    <w:p>
      <w:pPr>
        <w:numPr>
          <w:ilvl w:val="0"/>
          <w:numId w:val="1002"/>
        </w:numPr>
      </w:pPr>
      <w:r>
        <w:t xml:space="preserve">Built credit risk models over 15K+ entities using news/social signals, reducing losses by $XM</w:t>
      </w:r>
    </w:p>
    <w:p>
      <w:pPr>
        <w:pStyle w:val="FirstParagraph"/>
      </w:pPr>
      <w:r>
        <w:rPr>
          <w:b/>
          <w:bCs/>
        </w:rPr>
        <w:t xml:space="preserve">Principal Data Engineer / Solution Architect</w:t>
      </w:r>
      <w:r>
        <w:br/>
      </w:r>
      <w:r>
        <w:rPr>
          <w:i/>
          <w:iCs/>
        </w:rPr>
        <w:t xml:space="preserve">Think Big Analytics (Teradata)</w:t>
      </w:r>
      <w:r>
        <w:t xml:space="preserve"> </w:t>
      </w:r>
      <w:r>
        <w:t xml:space="preserve">2017–2019</w:t>
      </w:r>
    </w:p>
    <w:p>
      <w:pPr>
        <w:numPr>
          <w:ilvl w:val="0"/>
          <w:numId w:val="1003"/>
        </w:numPr>
      </w:pPr>
      <w:r>
        <w:t xml:space="preserve">Designed 5 data lakes processing 1.2 PB/hour and 40K daily files</w:t>
      </w:r>
    </w:p>
    <w:p>
      <w:pPr>
        <w:numPr>
          <w:ilvl w:val="0"/>
          <w:numId w:val="1003"/>
        </w:numPr>
      </w:pPr>
      <w:r>
        <w:t xml:space="preserve">Engineered real-time platform processing 2.5M events/second, improving Ad campaign responsiveness by 80%</w:t>
      </w:r>
    </w:p>
    <w:p>
      <w:pPr>
        <w:numPr>
          <w:ilvl w:val="0"/>
          <w:numId w:val="1003"/>
        </w:numPr>
      </w:pPr>
      <w:r>
        <w:t xml:space="preserve">Built ML fraud detection: 60% fewer false positives, $XM savings</w:t>
      </w:r>
    </w:p>
    <w:p>
      <w:pPr>
        <w:pStyle w:val="FirstParagraph"/>
      </w:pPr>
      <w:r>
        <w:rPr>
          <w:b/>
          <w:bCs/>
        </w:rPr>
        <w:t xml:space="preserve">Entrepreneurship &amp; Technical Leadership</w:t>
      </w:r>
      <w:r>
        <w:t xml:space="preserve">,</w:t>
      </w:r>
      <w:r>
        <w:t xml:space="preserve"> </w:t>
      </w:r>
      <w:r>
        <w:rPr>
          <w:i/>
          <w:iCs/>
        </w:rPr>
        <w:t xml:space="preserve">Truckaurbus (Founder &amp; CTO) / UTU Singapore</w:t>
      </w:r>
      <w:r>
        <w:t xml:space="preserve"> </w:t>
      </w:r>
      <w:r>
        <w:t xml:space="preserve">2014–2017</w:t>
      </w:r>
    </w:p>
    <w:p>
      <w:pPr>
        <w:pStyle w:val="BodyText"/>
      </w:pPr>
      <w:r>
        <w:rPr>
          <w:b/>
          <w:bCs/>
        </w:rPr>
        <w:t xml:space="preserve">Senior SDE</w:t>
      </w:r>
      <w:r>
        <w:t xml:space="preserve">,</w:t>
      </w:r>
      <w:r>
        <w:t xml:space="preserve"> </w:t>
      </w:r>
      <w:r>
        <w:rPr>
          <w:i/>
          <w:iCs/>
        </w:rPr>
        <w:t xml:space="preserve">Microsoft</w:t>
      </w:r>
      <w:r>
        <w:t xml:space="preserve"> </w:t>
      </w:r>
      <w:r>
        <w:t xml:space="preserve">2010–2014</w:t>
      </w:r>
    </w:p>
    <w:bookmarkEnd w:id="12"/>
    <w:bookmarkStart w:id="13" w:name="education"/>
    <w:p>
      <w:pPr>
        <w:pStyle w:val="Heading1"/>
      </w:pP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MBA, Business Analytics</w:t>
      </w:r>
      <w:r>
        <w:br/>
      </w:r>
      <w:r>
        <w:t xml:space="preserve">BITS Pilani 2021–2023</w:t>
      </w:r>
      <w:r>
        <w:br/>
      </w:r>
      <w:r>
        <w:rPr>
          <w:b/>
          <w:bCs/>
        </w:rPr>
        <w:t xml:space="preserve">MTech, Software Systems</w:t>
      </w:r>
      <w:r>
        <w:br/>
      </w:r>
      <w:r>
        <w:t xml:space="preserve">BITS Pilani 2017–2020</w:t>
      </w:r>
      <w:r>
        <w:br/>
      </w:r>
    </w:p>
    <w:bookmarkEnd w:id="13"/>
    <w:bookmarkStart w:id="14" w:name="research-innovation"/>
    <w:p>
      <w:pPr>
        <w:pStyle w:val="Heading1"/>
      </w:pPr>
      <w:r>
        <w:t xml:space="preserve">Research &amp; Innovation</w:t>
      </w:r>
    </w:p>
    <w:p>
      <w:pPr>
        <w:pStyle w:val="FirstParagraph"/>
      </w:pPr>
      <w:r>
        <w:rPr>
          <w:b/>
          <w:bCs/>
        </w:rPr>
        <w:t xml:space="preserve">LLM Inference Efficiency</w:t>
      </w:r>
      <w:r>
        <w:t xml:space="preserve"> </w:t>
      </w:r>
      <w:r>
        <w:t xml:space="preserve">(2025)</w:t>
      </w:r>
      <w:r>
        <w:br/>
      </w:r>
      <w:r>
        <w:t xml:space="preserve">Speculative decoding (2-3x speedup), custom Triton kernels (8.1x faster, 88% peak A100 bandwidth).</w:t>
      </w:r>
      <w:r>
        <w:br/>
      </w:r>
      <w:r>
        <w:rPr>
          <w:b/>
          <w:bCs/>
        </w:rPr>
        <w:t xml:space="preserve">AI Metacognition Toolkit</w:t>
      </w:r>
      <w:r>
        <w:t xml:space="preserve"> </w:t>
      </w:r>
      <w:r>
        <w:t xml:space="preserve">(2025)</w:t>
      </w:r>
      <w:r>
        <w:br/>
      </w:r>
      <w:r>
        <w:t xml:space="preserve">Sandbagging/deception detection via activation probes (90-96% accuracy); steering vectors reduce sandbagging 20%.</w:t>
      </w:r>
      <w:r>
        <w:br/>
      </w:r>
      <w:r>
        <w:rPr>
          <w:b/>
          <w:bCs/>
        </w:rPr>
        <w:t xml:space="preserve">UPIR - Distributed Systems Synthesis</w:t>
      </w:r>
      <w:r>
        <w:t xml:space="preserve"> </w:t>
      </w:r>
      <w:r>
        <w:t xml:space="preserve">(2025)</w:t>
      </w:r>
      <w:r>
        <w:br/>
      </w:r>
      <w:r>
        <w:t xml:space="preserve">Neuro-symbolic framework for automated distributed system generation. 274x speedup, 60% latency reduction.</w:t>
      </w:r>
      <w:r>
        <w:br/>
      </w:r>
      <w:r>
        <w:rPr>
          <w:b/>
          <w:bCs/>
        </w:rPr>
        <w:t xml:space="preserve">Steering Vectors for Agent Behavior</w:t>
      </w:r>
      <w:r>
        <w:t xml:space="preserve"> </w:t>
      </w:r>
      <w:r>
        <w:t xml:space="preserve">(2025)</w:t>
      </w:r>
      <w:r>
        <w:br/>
      </w:r>
      <w:r>
        <w:t xml:space="preserve">Runtime control of LLM agent behaviors via activation steering. 65% uncertainty detection.</w:t>
      </w:r>
      <w:r>
        <w:br/>
      </w:r>
    </w:p>
    <w:bookmarkEnd w:id="14"/>
    <w:bookmarkStart w:id="23" w:name="publications"/>
    <w:p>
      <w:pPr>
        <w:pStyle w:val="Heading1"/>
      </w:pPr>
      <w:r>
        <w:t xml:space="preserve">Publications</w:t>
      </w:r>
    </w:p>
    <w:p>
      <w:pPr>
        <w:pStyle w:val="FirstParagraph"/>
      </w:pPr>
      <w:r>
        <w:t xml:space="preserve"> </w:t>
      </w:r>
      <w:r>
        <w:t xml:space="preserve">• </w:t>
      </w:r>
      <w:hyperlink r:id="rId15">
        <w:r>
          <w:rPr>
            <w:rStyle w:val="Hyperlink"/>
          </w:rPr>
          <w:t xml:space="preserve">Quality-Diversity Evolution for LLM Safety Vulnerabilities</w:t>
        </w:r>
      </w:hyperlink>
      <w:r>
        <w:t xml:space="preserve"> </w:t>
      </w:r>
      <w:r>
        <w:t xml:space="preserve">(2026,</w:t>
      </w:r>
      <w:r>
        <w:t xml:space="preserve"> </w:t>
      </w:r>
      <w:r>
        <w:rPr>
          <w:i/>
          <w:iCs/>
        </w:rPr>
        <w:t xml:space="preserve">ICLR 2026 Workshop AIWILD</w:t>
      </w:r>
      <w:r>
        <w:t xml:space="preserve">)</w:t>
      </w:r>
      <w:r>
        <w:br/>
      </w:r>
      <w:r>
        <w:t xml:space="preserve">• </w:t>
      </w:r>
      <w:hyperlink r:id="rId16">
        <w:r>
          <w:rPr>
            <w:rStyle w:val="Hyperlink"/>
          </w:rPr>
          <w:t xml:space="preserve">Spark-LLM-Eval: Distributed Framework for Statistically Rigorous LLM Evaluation</w:t>
        </w:r>
      </w:hyperlink>
      <w:r>
        <w:t xml:space="preserve"> </w:t>
      </w:r>
      <w:r>
        <w:t xml:space="preserve">(2026,</w:t>
      </w:r>
      <w:r>
        <w:t xml:space="preserve"> </w:t>
      </w:r>
      <w:r>
        <w:rPr>
          <w:i/>
          <w:iCs/>
        </w:rPr>
        <w:t xml:space="preserve">arXiv</w:t>
      </w:r>
      <w:r>
        <w:t xml:space="preserve">)</w:t>
      </w:r>
      <w:r>
        <w:br/>
      </w:r>
      <w:r>
        <w:t xml:space="preserve">• </w:t>
      </w:r>
      <w:hyperlink r:id="rId17">
        <w:r>
          <w:rPr>
            <w:rStyle w:val="Hyperlink"/>
          </w:rPr>
          <w:t xml:space="preserve">Field-Theoretic Memory for AI Agents</w:t>
        </w:r>
      </w:hyperlink>
      <w:r>
        <w:t xml:space="preserve"> </w:t>
      </w:r>
      <w:r>
        <w:t xml:space="preserve">(2026,</w:t>
      </w:r>
      <w:r>
        <w:t xml:space="preserve"> </w:t>
      </w:r>
      <w:r>
        <w:rPr>
          <w:i/>
          <w:iCs/>
        </w:rPr>
        <w:t xml:space="preserve">arXiv</w:t>
      </w:r>
      <w:r>
        <w:t xml:space="preserve">)</w:t>
      </w:r>
      <w:r>
        <w:br/>
      </w:r>
      <w:r>
        <w:t xml:space="preserve">• </w:t>
      </w:r>
      <w:hyperlink r:id="rId18">
        <w:r>
          <w:rPr>
            <w:rStyle w:val="Hyperlink"/>
          </w:rPr>
          <w:t xml:space="preserve">Automated Rule Generation for Tiered Systems</w:t>
        </w:r>
      </w:hyperlink>
      <w:r>
        <w:t xml:space="preserve"> </w:t>
      </w:r>
      <w:r>
        <w:t xml:space="preserve">(2026)</w:t>
      </w:r>
      <w:r>
        <w:br/>
      </w:r>
      <w:r>
        <w:t xml:space="preserve">• </w:t>
      </w:r>
      <w:hyperlink r:id="rId19">
        <w:r>
          <w:rPr>
            <w:rStyle w:val="Hyperlink"/>
          </w:rPr>
          <w:t xml:space="preserve">Predictive Cost-Benefit Routing for Risk Decisioning</w:t>
        </w:r>
      </w:hyperlink>
      <w:r>
        <w:t xml:space="preserve"> </w:t>
      </w:r>
      <w:r>
        <w:t xml:space="preserve">(2026)</w:t>
      </w:r>
      <w:r>
        <w:br/>
      </w:r>
      <w:r>
        <w:t xml:space="preserve">• </w:t>
      </w:r>
      <w:hyperlink r:id="rId20">
        <w:r>
          <w:rPr>
            <w:rStyle w:val="Hyperlink"/>
          </w:rPr>
          <w:t xml:space="preserve">UPIR: Automated Synthesis and Verification of Distributed Systems</w:t>
        </w:r>
      </w:hyperlink>
      <w:r>
        <w:t xml:space="preserve"> </w:t>
      </w:r>
      <w:r>
        <w:t xml:space="preserve">(2025)</w:t>
      </w:r>
      <w:r>
        <w:br/>
      </w:r>
      <w:r>
        <w:t xml:space="preserve">• </w:t>
      </w:r>
      <w:hyperlink r:id="rId21">
        <w:r>
          <w:rPr>
            <w:rStyle w:val="Hyperlink"/>
          </w:rPr>
          <w:t xml:space="preserve">ETLC: Context-First Data Processing for GenAI</w:t>
        </w:r>
      </w:hyperlink>
      <w:r>
        <w:t xml:space="preserve"> </w:t>
      </w:r>
      <w:r>
        <w:t xml:space="preserve">(2025)</w:t>
      </w:r>
      <w:r>
        <w:br/>
      </w:r>
      <w:r>
        <w:t xml:space="preserve">• </w:t>
      </w:r>
      <w:hyperlink r:id="rId22">
        <w:r>
          <w:rPr>
            <w:rStyle w:val="Hyperlink"/>
          </w:rPr>
          <w:t xml:space="preserve">ARTEMIS - Adaptive Multi-agent Debate Framework</w:t>
        </w:r>
      </w:hyperlink>
      <w:r>
        <w:t xml:space="preserve"> </w:t>
      </w:r>
      <w:r>
        <w:t xml:space="preserve">(2025)</w:t>
      </w:r>
      <w:r>
        <w:br/>
      </w:r>
    </w:p>
    <w:bookmarkEnd w:id="23"/>
    <w:bookmarkStart w:id="24" w:name="skills"/>
    <w:p>
      <w:pPr>
        <w:pStyle w:val="Heading1"/>
      </w:pPr>
      <w:r>
        <w:t xml:space="preserve">Skills</w:t>
      </w:r>
    </w:p>
    <w:p>
      <w:pPr>
        <w:pStyle w:val="FirstParagraph"/>
      </w:pPr>
      <w:r>
        <w:rPr>
          <w:b/>
          <w:bCs/>
        </w:rPr>
        <w:t xml:space="preserve">Strategy &amp; Leadership:</w:t>
      </w:r>
      <w:r>
        <w:t xml:space="preserve"> </w:t>
      </w:r>
      <w:r>
        <w:t xml:space="preserve">Practice Building &amp; P&amp;L, Executive Advisory, Data Strategy &amp; Monetization, Go-to-Market Partnership, Talent Development, Org Design</w:t>
      </w:r>
      <w:r>
        <w:br/>
      </w:r>
      <w:r>
        <w:rPr>
          <w:b/>
          <w:bCs/>
        </w:rPr>
        <w:t xml:space="preserve">Technical Domains:</w:t>
      </w:r>
      <w:r>
        <w:t xml:space="preserve"> </w:t>
      </w:r>
      <w:r>
        <w:t xml:space="preserve">Enterprise AI/ML Platforms, Agentic AI Systems, Data Platform Modernization, Google Cloud Platform, Distributed Systems</w:t>
      </w:r>
      <w:r>
        <w:br/>
      </w:r>
    </w:p>
    <w:bookmarkEnd w:id="24"/>
    <w:bookmarkStart w:id="25" w:name="notable-projects"/>
    <w:p>
      <w:pPr>
        <w:pStyle w:val="Heading1"/>
      </w:pPr>
      <w:r>
        <w:t xml:space="preserve">Notable Projects</w:t>
      </w:r>
    </w:p>
    <w:p>
      <w:pPr>
        <w:pStyle w:val="FirstParagraph"/>
      </w:pPr>
      <w:r>
        <w:rPr>
          <w:b/>
          <w:bCs/>
        </w:rPr>
        <w:t xml:space="preserve">CatchMe - Intelligent Trust Engine</w:t>
      </w:r>
      <w:r>
        <w:t xml:space="preserve"> </w:t>
      </w:r>
      <w:r>
        <w:t xml:space="preserve">(2025)</w:t>
      </w:r>
      <w:r>
        <w:br/>
      </w:r>
      <w:r>
        <w:t xml:space="preserve">Industry-agnostic agentic AI for enterprise trust decisions. Self-learning cascade routing with 86% cost reduction and sub-50ms latency.</w:t>
      </w:r>
      <w:r>
        <w:br/>
      </w:r>
      <w:r>
        <w:rPr>
          <w:b/>
          <w:bCs/>
        </w:rPr>
        <w:t xml:space="preserve">LLMConsent</w:t>
      </w:r>
      <w:r>
        <w:t xml:space="preserve"> </w:t>
      </w:r>
      <w:r>
        <w:t xml:space="preserve">(2024 - Present)</w:t>
      </w:r>
      <w:r>
        <w:br/>
      </w:r>
      <w:r>
        <w:t xml:space="preserve">Privacy-preserving consent protocol for LLM training data. Decentralized registry with cryptographic verification and real-time opt-out enforcement.</w:t>
      </w:r>
      <w:r>
        <w:br/>
      </w:r>
      <w:r>
        <w:rPr>
          <w:b/>
          <w:bCs/>
        </w:rPr>
        <w:t xml:space="preserve">SMPP Core</w:t>
      </w:r>
      <w:r>
        <w:t xml:space="preserve"> </w:t>
      </w:r>
      <w:r>
        <w:t xml:space="preserve">(2024 - 2025)</w:t>
      </w:r>
      <w:r>
        <w:br/>
      </w:r>
      <w:r>
        <w:t xml:space="preserve">Java 21 SMPP protocol implementation with virtual threads. 1.8M PDU decodes/sec, 1.5M encodes/sec. Published on Maven Central.</w:t>
      </w:r>
      <w:r>
        <w:br/>
      </w:r>
    </w:p>
    <w:bookmarkEnd w:id="25"/>
    <w:p>
      <w:pPr>
        <w:pStyle w:val="BodyText"/>
      </w:pPr>
      <w:r>
        <w:t xml:space="preserve"> </w:t>
      </w:r>
      <w:hyperlink r:id="rId26">
        <w:r>
          <w:rPr>
            <w:rStyle w:val="Hyperlink"/>
          </w:rPr>
          <w:t xml:space="preserve">subhadipmitra.com</w:t>
        </w:r>
      </w:hyperlink>
      <w:r>
        <w:t xml:space="preserve"> </w:t>
      </w:r>
      <w:r>
        <w:t xml:space="preserve">| Last updated: March 2026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7" Target="https://arxiv.org/abs/2602.21220" TargetMode="External" /><Relationship Type="http://schemas.openxmlformats.org/officeDocument/2006/relationships/hyperlink" Id="rId16" Target="https://arxiv.org/abs/2603.28769" TargetMode="External" /><Relationship Type="http://schemas.openxmlformats.org/officeDocument/2006/relationships/hyperlink" Id="rId11" Target="https://github.com/bassrehab" TargetMode="External" /><Relationship Type="http://schemas.openxmlformats.org/officeDocument/2006/relationships/hyperlink" Id="rId15" Target="https://openreview.net/forum?id=YMtanBXw5q" TargetMode="External" /><Relationship Type="http://schemas.openxmlformats.org/officeDocument/2006/relationships/hyperlink" Id="rId21" Target="https://services.google.com/fh/files/blogs/etlc_full_paper.pdf" TargetMode="External" /><Relationship Type="http://schemas.openxmlformats.org/officeDocument/2006/relationships/hyperlink" Id="rId26" Target="https://subhadipmitra.com" TargetMode="External" /><Relationship Type="http://schemas.openxmlformats.org/officeDocument/2006/relationships/hyperlink" Id="rId10" Target="https://www.linkedin.com/in/subhadip-mitra/" TargetMode="External" /><Relationship Type="http://schemas.openxmlformats.org/officeDocument/2006/relationships/hyperlink" Id="rId22" Target="https://www.tdcommons.org/dpubs_series/7729/" TargetMode="External" /><Relationship Type="http://schemas.openxmlformats.org/officeDocument/2006/relationships/hyperlink" Id="rId20" Target="https://www.tdcommons.org/dpubs_series/8852/" TargetMode="External" /><Relationship Type="http://schemas.openxmlformats.org/officeDocument/2006/relationships/hyperlink" Id="rId18" Target="https://www.tdcommons.org/dpubs_series/9180/" TargetMode="External" /><Relationship Type="http://schemas.openxmlformats.org/officeDocument/2006/relationships/hyperlink" Id="rId19" Target="https://www.tdcommons.org/dpubs_series/9181/" TargetMode="External" /><Relationship Type="http://schemas.openxmlformats.org/officeDocument/2006/relationships/hyperlink" Id="rId9" Target="mailto:contact@subhadipmitra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7" Target="https://arxiv.org/abs/2602.21220" TargetMode="External" /><Relationship Type="http://schemas.openxmlformats.org/officeDocument/2006/relationships/hyperlink" Id="rId16" Target="https://arxiv.org/abs/2603.28769" TargetMode="External" /><Relationship Type="http://schemas.openxmlformats.org/officeDocument/2006/relationships/hyperlink" Id="rId11" Target="https://github.com/bassrehab" TargetMode="External" /><Relationship Type="http://schemas.openxmlformats.org/officeDocument/2006/relationships/hyperlink" Id="rId15" Target="https://openreview.net/forum?id=YMtanBXw5q" TargetMode="External" /><Relationship Type="http://schemas.openxmlformats.org/officeDocument/2006/relationships/hyperlink" Id="rId21" Target="https://services.google.com/fh/files/blogs/etlc_full_paper.pdf" TargetMode="External" /><Relationship Type="http://schemas.openxmlformats.org/officeDocument/2006/relationships/hyperlink" Id="rId26" Target="https://subhadipmitra.com" TargetMode="External" /><Relationship Type="http://schemas.openxmlformats.org/officeDocument/2006/relationships/hyperlink" Id="rId10" Target="https://www.linkedin.com/in/subhadip-mitra/" TargetMode="External" /><Relationship Type="http://schemas.openxmlformats.org/officeDocument/2006/relationships/hyperlink" Id="rId22" Target="https://www.tdcommons.org/dpubs_series/7729/" TargetMode="External" /><Relationship Type="http://schemas.openxmlformats.org/officeDocument/2006/relationships/hyperlink" Id="rId20" Target="https://www.tdcommons.org/dpubs_series/8852/" TargetMode="External" /><Relationship Type="http://schemas.openxmlformats.org/officeDocument/2006/relationships/hyperlink" Id="rId18" Target="https://www.tdcommons.org/dpubs_series/9180/" TargetMode="External" /><Relationship Type="http://schemas.openxmlformats.org/officeDocument/2006/relationships/hyperlink" Id="rId19" Target="https://www.tdcommons.org/dpubs_series/9181/" TargetMode="External" /><Relationship Type="http://schemas.openxmlformats.org/officeDocument/2006/relationships/hyperlink" Id="rId9" Target="mailto:contact@subhadipmitra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2026-04-01T05:24:36Z</dcterms:created>
  <dcterms:modified xsi:type="dcterms:W3CDTF">2026-04-01T05:24:36Z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